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C1382" w14:textId="77777777" w:rsidR="00D478A3" w:rsidRPr="00D478A3" w:rsidRDefault="00D478A3" w:rsidP="00D478A3">
      <w:pPr>
        <w:rPr>
          <w:b/>
          <w:bCs/>
        </w:rPr>
      </w:pPr>
      <w:r w:rsidRPr="00D478A3">
        <w:rPr>
          <w:b/>
          <w:bCs/>
        </w:rPr>
        <w:t>Complete Deliverable Summary</w:t>
      </w:r>
    </w:p>
    <w:p w14:paraId="67052EBA" w14:textId="77777777" w:rsidR="00D478A3" w:rsidRPr="00D478A3" w:rsidRDefault="00D478A3" w:rsidP="00D478A3">
      <w:pPr>
        <w:rPr>
          <w:b/>
          <w:bCs/>
        </w:rPr>
      </w:pPr>
      <w:r w:rsidRPr="00D478A3">
        <w:rPr>
          <w:b/>
          <w:bCs/>
        </w:rPr>
        <w:t>What You Now Have: 19 Documents, 9,313 Lines</w:t>
      </w:r>
    </w:p>
    <w:p w14:paraId="4CDE80DE" w14:textId="77777777" w:rsidR="00D478A3" w:rsidRPr="00D478A3" w:rsidRDefault="00D478A3" w:rsidP="00D478A3">
      <w:r w:rsidRPr="00D478A3">
        <w:rPr>
          <w:b/>
          <w:bCs/>
        </w:rPr>
        <w:t>The 15 Specification Documents: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"/>
        <w:gridCol w:w="2281"/>
        <w:gridCol w:w="799"/>
        <w:gridCol w:w="3219"/>
        <w:gridCol w:w="2116"/>
      </w:tblGrid>
      <w:tr w:rsidR="00D478A3" w:rsidRPr="00D478A3" w14:paraId="69C78760" w14:textId="77777777" w:rsidTr="00D478A3">
        <w:tc>
          <w:tcPr>
            <w:tcW w:w="0" w:type="auto"/>
            <w:hideMark/>
          </w:tcPr>
          <w:p w14:paraId="0F02A2B0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#</w:t>
            </w:r>
          </w:p>
        </w:tc>
        <w:tc>
          <w:tcPr>
            <w:tcW w:w="0" w:type="auto"/>
            <w:hideMark/>
          </w:tcPr>
          <w:p w14:paraId="7327EBD6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Document</w:t>
            </w:r>
          </w:p>
        </w:tc>
        <w:tc>
          <w:tcPr>
            <w:tcW w:w="0" w:type="auto"/>
            <w:hideMark/>
          </w:tcPr>
          <w:p w14:paraId="5D8F6FE5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Lines</w:t>
            </w:r>
          </w:p>
        </w:tc>
        <w:tc>
          <w:tcPr>
            <w:tcW w:w="0" w:type="auto"/>
            <w:hideMark/>
          </w:tcPr>
          <w:p w14:paraId="62C48778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Purpose</w:t>
            </w:r>
          </w:p>
        </w:tc>
        <w:tc>
          <w:tcPr>
            <w:tcW w:w="0" w:type="auto"/>
            <w:hideMark/>
          </w:tcPr>
          <w:p w14:paraId="288DFA49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Submit To</w:t>
            </w:r>
          </w:p>
        </w:tc>
      </w:tr>
      <w:tr w:rsidR="00D478A3" w:rsidRPr="00D478A3" w14:paraId="1C78C1DB" w14:textId="77777777" w:rsidTr="00D478A3">
        <w:tc>
          <w:tcPr>
            <w:tcW w:w="0" w:type="auto"/>
            <w:hideMark/>
          </w:tcPr>
          <w:p w14:paraId="26A16B4F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001</w:t>
            </w:r>
          </w:p>
        </w:tc>
        <w:tc>
          <w:tcPr>
            <w:tcW w:w="0" w:type="auto"/>
            <w:hideMark/>
          </w:tcPr>
          <w:p w14:paraId="199E6BBA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Core Protocol</w:t>
            </w:r>
          </w:p>
        </w:tc>
        <w:tc>
          <w:tcPr>
            <w:tcW w:w="0" w:type="auto"/>
            <w:hideMark/>
          </w:tcPr>
          <w:p w14:paraId="6D97709F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246</w:t>
            </w:r>
          </w:p>
        </w:tc>
        <w:tc>
          <w:tcPr>
            <w:tcW w:w="0" w:type="auto"/>
            <w:hideMark/>
          </w:tcPr>
          <w:p w14:paraId="65C86A7D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Foundation — axioms, architecture, conformance</w:t>
            </w:r>
          </w:p>
        </w:tc>
        <w:tc>
          <w:tcPr>
            <w:tcW w:w="0" w:type="auto"/>
            <w:hideMark/>
          </w:tcPr>
          <w:p w14:paraId="54AA1872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I-D, IEEE PAR</w:t>
            </w:r>
          </w:p>
        </w:tc>
      </w:tr>
      <w:tr w:rsidR="00D478A3" w:rsidRPr="00D478A3" w14:paraId="5A0BA46D" w14:textId="77777777" w:rsidTr="00D478A3">
        <w:tc>
          <w:tcPr>
            <w:tcW w:w="0" w:type="auto"/>
            <w:hideMark/>
          </w:tcPr>
          <w:p w14:paraId="5FB1AC5F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002</w:t>
            </w:r>
          </w:p>
        </w:tc>
        <w:tc>
          <w:tcPr>
            <w:tcW w:w="0" w:type="auto"/>
            <w:hideMark/>
          </w:tcPr>
          <w:p w14:paraId="3E2EB318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Header Specification</w:t>
            </w:r>
          </w:p>
        </w:tc>
        <w:tc>
          <w:tcPr>
            <w:tcW w:w="0" w:type="auto"/>
            <w:hideMark/>
          </w:tcPr>
          <w:p w14:paraId="20997FDB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1,775</w:t>
            </w:r>
          </w:p>
        </w:tc>
        <w:tc>
          <w:tcPr>
            <w:tcW w:w="0" w:type="auto"/>
            <w:hideMark/>
          </w:tcPr>
          <w:p w14:paraId="3BCAA9C2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All 58 headers with ABNF grammar, IANA templates</w:t>
            </w:r>
          </w:p>
        </w:tc>
        <w:tc>
          <w:tcPr>
            <w:tcW w:w="0" w:type="auto"/>
            <w:hideMark/>
          </w:tcPr>
          <w:p w14:paraId="68DF4FF7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I-D, IANA registration</w:t>
            </w:r>
          </w:p>
        </w:tc>
      </w:tr>
      <w:tr w:rsidR="00D478A3" w:rsidRPr="00D478A3" w14:paraId="27061954" w14:textId="77777777" w:rsidTr="00D478A3">
        <w:tc>
          <w:tcPr>
            <w:tcW w:w="0" w:type="auto"/>
            <w:hideMark/>
          </w:tcPr>
          <w:p w14:paraId="0BAFC07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003</w:t>
            </w:r>
          </w:p>
        </w:tc>
        <w:tc>
          <w:tcPr>
            <w:tcW w:w="0" w:type="auto"/>
            <w:hideMark/>
          </w:tcPr>
          <w:p w14:paraId="70767688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Envelope &amp; Packing</w:t>
            </w:r>
          </w:p>
        </w:tc>
        <w:tc>
          <w:tcPr>
            <w:tcW w:w="0" w:type="auto"/>
            <w:hideMark/>
          </w:tcPr>
          <w:p w14:paraId="0BAE2430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678</w:t>
            </w:r>
          </w:p>
        </w:tc>
        <w:tc>
          <w:tcPr>
            <w:tcW w:w="0" w:type="auto"/>
            <w:hideMark/>
          </w:tcPr>
          <w:p w14:paraId="32AF04C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3-phase algorithm, quality tiers, ETag caching</w:t>
            </w:r>
          </w:p>
        </w:tc>
        <w:tc>
          <w:tcPr>
            <w:tcW w:w="0" w:type="auto"/>
            <w:hideMark/>
          </w:tcPr>
          <w:p w14:paraId="7F56263E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I-D (appendix)</w:t>
            </w:r>
          </w:p>
        </w:tc>
      </w:tr>
      <w:tr w:rsidR="00D478A3" w:rsidRPr="00D478A3" w14:paraId="22EB82A3" w14:textId="77777777" w:rsidTr="00D478A3">
        <w:tc>
          <w:tcPr>
            <w:tcW w:w="0" w:type="auto"/>
            <w:hideMark/>
          </w:tcPr>
          <w:p w14:paraId="30066849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004</w:t>
            </w:r>
          </w:p>
        </w:tc>
        <w:tc>
          <w:tcPr>
            <w:tcW w:w="0" w:type="auto"/>
            <w:hideMark/>
          </w:tcPr>
          <w:p w14:paraId="00DB77EA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Window Continuation &amp; DAG</w:t>
            </w:r>
          </w:p>
        </w:tc>
        <w:tc>
          <w:tcPr>
            <w:tcW w:w="0" w:type="auto"/>
            <w:hideMark/>
          </w:tcPr>
          <w:p w14:paraId="7E93F2BE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792</w:t>
            </w:r>
          </w:p>
        </w:tc>
        <w:tc>
          <w:tcPr>
            <w:tcW w:w="0" w:type="auto"/>
            <w:hideMark/>
          </w:tcPr>
          <w:p w14:paraId="0CD45FB5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Context enlargement, fan-out/in, HMAC stitching</w:t>
            </w:r>
          </w:p>
        </w:tc>
        <w:tc>
          <w:tcPr>
            <w:tcW w:w="0" w:type="auto"/>
            <w:hideMark/>
          </w:tcPr>
          <w:p w14:paraId="4A686B5C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I-D (appendix)</w:t>
            </w:r>
          </w:p>
        </w:tc>
      </w:tr>
      <w:tr w:rsidR="00D478A3" w:rsidRPr="00D478A3" w14:paraId="66DFF18F" w14:textId="77777777" w:rsidTr="00D478A3">
        <w:tc>
          <w:tcPr>
            <w:tcW w:w="0" w:type="auto"/>
            <w:hideMark/>
          </w:tcPr>
          <w:p w14:paraId="3FFF755E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005</w:t>
            </w:r>
          </w:p>
        </w:tc>
        <w:tc>
          <w:tcPr>
            <w:tcW w:w="0" w:type="auto"/>
            <w:hideMark/>
          </w:tcPr>
          <w:p w14:paraId="46465BEF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Decision Provenance Engine</w:t>
            </w:r>
          </w:p>
        </w:tc>
        <w:tc>
          <w:tcPr>
            <w:tcW w:w="0" w:type="auto"/>
            <w:hideMark/>
          </w:tcPr>
          <w:p w14:paraId="1441AFED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1,070</w:t>
            </w:r>
          </w:p>
        </w:tc>
        <w:tc>
          <w:tcPr>
            <w:tcW w:w="0" w:type="auto"/>
            <w:hideMark/>
          </w:tcPr>
          <w:p w14:paraId="3706D13E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13-stage DPE + RQA quality assurance pipeline</w:t>
            </w:r>
          </w:p>
        </w:tc>
        <w:tc>
          <w:tcPr>
            <w:tcW w:w="0" w:type="auto"/>
            <w:hideMark/>
          </w:tcPr>
          <w:p w14:paraId="1B960F9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IEEE standard scope</w:t>
            </w:r>
          </w:p>
        </w:tc>
      </w:tr>
      <w:tr w:rsidR="00D478A3" w:rsidRPr="00D478A3" w14:paraId="64EC60A4" w14:textId="77777777" w:rsidTr="00D478A3">
        <w:tc>
          <w:tcPr>
            <w:tcW w:w="0" w:type="auto"/>
            <w:hideMark/>
          </w:tcPr>
          <w:p w14:paraId="3842EA85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006</w:t>
            </w:r>
          </w:p>
        </w:tc>
        <w:tc>
          <w:tcPr>
            <w:tcW w:w="0" w:type="auto"/>
            <w:hideMark/>
          </w:tcPr>
          <w:p w14:paraId="7A2BB58C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Safety Policy Directives</w:t>
            </w:r>
          </w:p>
        </w:tc>
        <w:tc>
          <w:tcPr>
            <w:tcW w:w="0" w:type="auto"/>
            <w:hideMark/>
          </w:tcPr>
          <w:p w14:paraId="79E0B5C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466</w:t>
            </w:r>
          </w:p>
        </w:tc>
        <w:tc>
          <w:tcPr>
            <w:tcW w:w="0" w:type="auto"/>
            <w:hideMark/>
          </w:tcPr>
          <w:p w14:paraId="3CAA0E6C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CSP-equivalent grammar, enforcement, profiles</w:t>
            </w:r>
          </w:p>
        </w:tc>
        <w:tc>
          <w:tcPr>
            <w:tcW w:w="0" w:type="auto"/>
            <w:hideMark/>
          </w:tcPr>
          <w:p w14:paraId="62F82690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I-D (companion)</w:t>
            </w:r>
          </w:p>
        </w:tc>
      </w:tr>
      <w:tr w:rsidR="00D478A3" w:rsidRPr="00D478A3" w14:paraId="70812359" w14:textId="77777777" w:rsidTr="00D478A3">
        <w:tc>
          <w:tcPr>
            <w:tcW w:w="0" w:type="auto"/>
            <w:hideMark/>
          </w:tcPr>
          <w:p w14:paraId="5B4456DB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007</w:t>
            </w:r>
          </w:p>
        </w:tc>
        <w:tc>
          <w:tcPr>
            <w:tcW w:w="0" w:type="auto"/>
            <w:hideMark/>
          </w:tcPr>
          <w:p w14:paraId="67C5033F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Session Token</w:t>
            </w:r>
          </w:p>
        </w:tc>
        <w:tc>
          <w:tcPr>
            <w:tcW w:w="0" w:type="auto"/>
            <w:hideMark/>
          </w:tcPr>
          <w:p w14:paraId="0C1A731D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400</w:t>
            </w:r>
          </w:p>
        </w:tc>
        <w:tc>
          <w:tcPr>
            <w:tcW w:w="0" w:type="auto"/>
            <w:hideMark/>
          </w:tcPr>
          <w:p w14:paraId="6DBED03C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Cookie-equivalent, signing, stateless relay</w:t>
            </w:r>
          </w:p>
        </w:tc>
        <w:tc>
          <w:tcPr>
            <w:tcW w:w="0" w:type="auto"/>
            <w:hideMark/>
          </w:tcPr>
          <w:p w14:paraId="4C47908C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I-D (companion)</w:t>
            </w:r>
          </w:p>
        </w:tc>
      </w:tr>
      <w:tr w:rsidR="00D478A3" w:rsidRPr="00D478A3" w14:paraId="23CA8AF3" w14:textId="77777777" w:rsidTr="00D478A3">
        <w:tc>
          <w:tcPr>
            <w:tcW w:w="0" w:type="auto"/>
            <w:hideMark/>
          </w:tcPr>
          <w:p w14:paraId="2535FB07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008</w:t>
            </w:r>
          </w:p>
        </w:tc>
        <w:tc>
          <w:tcPr>
            <w:tcW w:w="0" w:type="auto"/>
            <w:hideMark/>
          </w:tcPr>
          <w:p w14:paraId="22EC1263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Dispatch Strategies</w:t>
            </w:r>
          </w:p>
        </w:tc>
        <w:tc>
          <w:tcPr>
            <w:tcW w:w="0" w:type="auto"/>
            <w:hideMark/>
          </w:tcPr>
          <w:p w14:paraId="558A2772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463</w:t>
            </w:r>
          </w:p>
        </w:tc>
        <w:tc>
          <w:tcPr>
            <w:tcW w:w="0" w:type="auto"/>
            <w:hideMark/>
          </w:tcPr>
          <w:p w14:paraId="30182532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All 9 strategies with state machines</w:t>
            </w:r>
          </w:p>
        </w:tc>
        <w:tc>
          <w:tcPr>
            <w:tcW w:w="0" w:type="auto"/>
            <w:hideMark/>
          </w:tcPr>
          <w:p w14:paraId="2957AE68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IEEE standard scope</w:t>
            </w:r>
          </w:p>
        </w:tc>
      </w:tr>
      <w:tr w:rsidR="00D478A3" w:rsidRPr="00D478A3" w14:paraId="67EE2DC9" w14:textId="77777777" w:rsidTr="00D478A3">
        <w:tc>
          <w:tcPr>
            <w:tcW w:w="0" w:type="auto"/>
            <w:hideMark/>
          </w:tcPr>
          <w:p w14:paraId="2C41447A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009</w:t>
            </w:r>
          </w:p>
        </w:tc>
        <w:tc>
          <w:tcPr>
            <w:tcW w:w="0" w:type="auto"/>
            <w:hideMark/>
          </w:tcPr>
          <w:p w14:paraId="5EECB8A3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CKF</w:t>
            </w:r>
          </w:p>
        </w:tc>
        <w:tc>
          <w:tcPr>
            <w:tcW w:w="0" w:type="auto"/>
            <w:hideMark/>
          </w:tcPr>
          <w:p w14:paraId="3A742785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332</w:t>
            </w:r>
          </w:p>
        </w:tc>
        <w:tc>
          <w:tcPr>
            <w:tcW w:w="0" w:type="auto"/>
            <w:hideMark/>
          </w:tcPr>
          <w:p w14:paraId="151CFF26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Knowledge fabric, HNSW, Leiden, lifecycle</w:t>
            </w:r>
          </w:p>
        </w:tc>
        <w:tc>
          <w:tcPr>
            <w:tcW w:w="0" w:type="auto"/>
            <w:hideMark/>
          </w:tcPr>
          <w:p w14:paraId="1475028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Internal reference</w:t>
            </w:r>
          </w:p>
        </w:tc>
      </w:tr>
      <w:tr w:rsidR="00D478A3" w:rsidRPr="00D478A3" w14:paraId="3D61103C" w14:textId="77777777" w:rsidTr="00D478A3">
        <w:tc>
          <w:tcPr>
            <w:tcW w:w="0" w:type="auto"/>
            <w:hideMark/>
          </w:tcPr>
          <w:p w14:paraId="375F5BD3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010</w:t>
            </w:r>
          </w:p>
        </w:tc>
        <w:tc>
          <w:tcPr>
            <w:tcW w:w="0" w:type="auto"/>
            <w:hideMark/>
          </w:tcPr>
          <w:p w14:paraId="6052856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Regulatory Mapping</w:t>
            </w:r>
          </w:p>
        </w:tc>
        <w:tc>
          <w:tcPr>
            <w:tcW w:w="0" w:type="auto"/>
            <w:hideMark/>
          </w:tcPr>
          <w:p w14:paraId="58D4421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153</w:t>
            </w:r>
          </w:p>
        </w:tc>
        <w:tc>
          <w:tcPr>
            <w:tcW w:w="0" w:type="auto"/>
            <w:hideMark/>
          </w:tcPr>
          <w:p w14:paraId="61F75FDD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Every header → every regulation control</w:t>
            </w:r>
          </w:p>
        </w:tc>
        <w:tc>
          <w:tcPr>
            <w:tcW w:w="0" w:type="auto"/>
            <w:hideMark/>
          </w:tcPr>
          <w:p w14:paraId="6A258B62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NIST, DISR, ISO/IEC SC 42</w:t>
            </w:r>
          </w:p>
        </w:tc>
      </w:tr>
      <w:tr w:rsidR="00D478A3" w:rsidRPr="00D478A3" w14:paraId="704E9B36" w14:textId="77777777" w:rsidTr="00D478A3">
        <w:tc>
          <w:tcPr>
            <w:tcW w:w="0" w:type="auto"/>
            <w:hideMark/>
          </w:tcPr>
          <w:p w14:paraId="4FB89B46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011</w:t>
            </w:r>
          </w:p>
        </w:tc>
        <w:tc>
          <w:tcPr>
            <w:tcW w:w="0" w:type="auto"/>
            <w:hideMark/>
          </w:tcPr>
          <w:p w14:paraId="78299F39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Audit Trail &amp; HMAC</w:t>
            </w:r>
          </w:p>
        </w:tc>
        <w:tc>
          <w:tcPr>
            <w:tcW w:w="0" w:type="auto"/>
            <w:hideMark/>
          </w:tcPr>
          <w:p w14:paraId="6FCE42E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276</w:t>
            </w:r>
          </w:p>
        </w:tc>
        <w:tc>
          <w:tcPr>
            <w:tcW w:w="0" w:type="auto"/>
            <w:hideMark/>
          </w:tcPr>
          <w:p w14:paraId="56E9285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30+ event types, chain algorithm, exports</w:t>
            </w:r>
          </w:p>
        </w:tc>
        <w:tc>
          <w:tcPr>
            <w:tcW w:w="0" w:type="auto"/>
            <w:hideMark/>
          </w:tcPr>
          <w:p w14:paraId="49BCEFF6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I-D, SOC 2 scope</w:t>
            </w:r>
          </w:p>
        </w:tc>
      </w:tr>
      <w:tr w:rsidR="00D478A3" w:rsidRPr="00D478A3" w14:paraId="2759D1DB" w14:textId="77777777" w:rsidTr="00D478A3">
        <w:tc>
          <w:tcPr>
            <w:tcW w:w="0" w:type="auto"/>
            <w:hideMark/>
          </w:tcPr>
          <w:p w14:paraId="12A56792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012</w:t>
            </w:r>
          </w:p>
        </w:tc>
        <w:tc>
          <w:tcPr>
            <w:tcW w:w="0" w:type="auto"/>
            <w:hideMark/>
          </w:tcPr>
          <w:p w14:paraId="6E8316BD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Multi-Agent Safety</w:t>
            </w:r>
          </w:p>
        </w:tc>
        <w:tc>
          <w:tcPr>
            <w:tcW w:w="0" w:type="auto"/>
            <w:hideMark/>
          </w:tcPr>
          <w:p w14:paraId="360C5489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396</w:t>
            </w:r>
          </w:p>
        </w:tc>
        <w:tc>
          <w:tcPr>
            <w:tcW w:w="0" w:type="auto"/>
            <w:hideMark/>
          </w:tcPr>
          <w:p w14:paraId="1213D9A0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Safety budget, circuit breaker, policy inheritance</w:t>
            </w:r>
          </w:p>
        </w:tc>
        <w:tc>
          <w:tcPr>
            <w:tcW w:w="0" w:type="auto"/>
            <w:hideMark/>
          </w:tcPr>
          <w:p w14:paraId="1E90780A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IEEE standard scope</w:t>
            </w:r>
          </w:p>
        </w:tc>
      </w:tr>
      <w:tr w:rsidR="00D478A3" w:rsidRPr="00D478A3" w14:paraId="13762BE2" w14:textId="77777777" w:rsidTr="00D478A3">
        <w:tc>
          <w:tcPr>
            <w:tcW w:w="0" w:type="auto"/>
            <w:hideMark/>
          </w:tcPr>
          <w:p w14:paraId="3BD4773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013</w:t>
            </w:r>
          </w:p>
        </w:tc>
        <w:tc>
          <w:tcPr>
            <w:tcW w:w="0" w:type="auto"/>
            <w:hideMark/>
          </w:tcPr>
          <w:p w14:paraId="60EDEC0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GitHub Action</w:t>
            </w:r>
          </w:p>
        </w:tc>
        <w:tc>
          <w:tcPr>
            <w:tcW w:w="0" w:type="auto"/>
            <w:hideMark/>
          </w:tcPr>
          <w:p w14:paraId="22844566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374</w:t>
            </w:r>
          </w:p>
        </w:tc>
        <w:tc>
          <w:tcPr>
            <w:tcW w:w="0" w:type="auto"/>
            <w:hideMark/>
          </w:tcPr>
          <w:p w14:paraId="47671BC4" w14:textId="77777777" w:rsidR="00D478A3" w:rsidRPr="00D478A3" w:rsidRDefault="00D478A3" w:rsidP="00D478A3">
            <w:pPr>
              <w:spacing w:after="160" w:line="278" w:lineRule="auto"/>
            </w:pPr>
            <w:proofErr w:type="spellStart"/>
            <w:r w:rsidRPr="00D478A3">
              <w:t>crp</w:t>
            </w:r>
            <w:proofErr w:type="spellEnd"/>
            <w:r w:rsidRPr="00D478A3">
              <w:t>-scan detection engine, SARIF, free/pro split</w:t>
            </w:r>
          </w:p>
        </w:tc>
        <w:tc>
          <w:tcPr>
            <w:tcW w:w="0" w:type="auto"/>
            <w:hideMark/>
          </w:tcPr>
          <w:p w14:paraId="59A1138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GitHub Marketplace</w:t>
            </w:r>
          </w:p>
        </w:tc>
      </w:tr>
      <w:tr w:rsidR="00D478A3" w:rsidRPr="00D478A3" w14:paraId="0DF20CD8" w14:textId="77777777" w:rsidTr="00D478A3">
        <w:tc>
          <w:tcPr>
            <w:tcW w:w="0" w:type="auto"/>
            <w:hideMark/>
          </w:tcPr>
          <w:p w14:paraId="377E45C8" w14:textId="77777777" w:rsidR="00D478A3" w:rsidRPr="00D478A3" w:rsidRDefault="00D478A3" w:rsidP="00D478A3">
            <w:pPr>
              <w:spacing w:after="160" w:line="278" w:lineRule="auto"/>
            </w:pPr>
            <w:r w:rsidRPr="00D478A3">
              <w:lastRenderedPageBreak/>
              <w:t>014</w:t>
            </w:r>
          </w:p>
        </w:tc>
        <w:tc>
          <w:tcPr>
            <w:tcW w:w="0" w:type="auto"/>
            <w:hideMark/>
          </w:tcPr>
          <w:p w14:paraId="0247EAD8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Conformance &amp; Test Suite</w:t>
            </w:r>
          </w:p>
        </w:tc>
        <w:tc>
          <w:tcPr>
            <w:tcW w:w="0" w:type="auto"/>
            <w:hideMark/>
          </w:tcPr>
          <w:p w14:paraId="1C090423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600</w:t>
            </w:r>
          </w:p>
        </w:tc>
        <w:tc>
          <w:tcPr>
            <w:tcW w:w="0" w:type="auto"/>
            <w:hideMark/>
          </w:tcPr>
          <w:p w14:paraId="20F077E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3 levels, test vectors, certification program</w:t>
            </w:r>
          </w:p>
        </w:tc>
        <w:tc>
          <w:tcPr>
            <w:tcW w:w="0" w:type="auto"/>
            <w:hideMark/>
          </w:tcPr>
          <w:p w14:paraId="4433AFF4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IETF (interop requirement)</w:t>
            </w:r>
          </w:p>
        </w:tc>
      </w:tr>
      <w:tr w:rsidR="00D478A3" w:rsidRPr="00D478A3" w14:paraId="6AED98EB" w14:textId="77777777" w:rsidTr="00D478A3">
        <w:tc>
          <w:tcPr>
            <w:tcW w:w="0" w:type="auto"/>
            <w:hideMark/>
          </w:tcPr>
          <w:p w14:paraId="19E36ED9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015</w:t>
            </w:r>
          </w:p>
        </w:tc>
        <w:tc>
          <w:tcPr>
            <w:tcW w:w="0" w:type="auto"/>
            <w:hideMark/>
          </w:tcPr>
          <w:p w14:paraId="45202D09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Security &amp; Privacy</w:t>
            </w:r>
          </w:p>
        </w:tc>
        <w:tc>
          <w:tcPr>
            <w:tcW w:w="0" w:type="auto"/>
            <w:hideMark/>
          </w:tcPr>
          <w:p w14:paraId="7E6C809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396</w:t>
            </w:r>
          </w:p>
        </w:tc>
        <w:tc>
          <w:tcPr>
            <w:tcW w:w="0" w:type="auto"/>
            <w:hideMark/>
          </w:tcPr>
          <w:p w14:paraId="238D33C3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Threat model, HMAC, TLS, privacy architecture</w:t>
            </w:r>
          </w:p>
        </w:tc>
        <w:tc>
          <w:tcPr>
            <w:tcW w:w="0" w:type="auto"/>
            <w:hideMark/>
          </w:tcPr>
          <w:p w14:paraId="7B0787B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All bodies</w:t>
            </w:r>
          </w:p>
        </w:tc>
      </w:tr>
    </w:tbl>
    <w:p w14:paraId="381066E2" w14:textId="77777777" w:rsidR="00D478A3" w:rsidRPr="00D478A3" w:rsidRDefault="00D478A3" w:rsidP="00D478A3">
      <w:r w:rsidRPr="00D478A3">
        <w:rPr>
          <w:b/>
          <w:bCs/>
        </w:rPr>
        <w:t>The 4 Supporting Documents: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12"/>
        <w:gridCol w:w="799"/>
        <w:gridCol w:w="5505"/>
      </w:tblGrid>
      <w:tr w:rsidR="00D478A3" w:rsidRPr="00D478A3" w14:paraId="08EE441D" w14:textId="77777777" w:rsidTr="00D478A3">
        <w:tc>
          <w:tcPr>
            <w:tcW w:w="0" w:type="auto"/>
            <w:hideMark/>
          </w:tcPr>
          <w:p w14:paraId="6847BB26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Document</w:t>
            </w:r>
          </w:p>
        </w:tc>
        <w:tc>
          <w:tcPr>
            <w:tcW w:w="0" w:type="auto"/>
            <w:hideMark/>
          </w:tcPr>
          <w:p w14:paraId="22E392D9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Lines</w:t>
            </w:r>
          </w:p>
        </w:tc>
        <w:tc>
          <w:tcPr>
            <w:tcW w:w="0" w:type="auto"/>
            <w:hideMark/>
          </w:tcPr>
          <w:p w14:paraId="0F8553D8" w14:textId="77777777" w:rsidR="00D478A3" w:rsidRPr="00D478A3" w:rsidRDefault="00D478A3" w:rsidP="00D478A3">
            <w:pPr>
              <w:spacing w:after="160" w:line="278" w:lineRule="auto"/>
              <w:rPr>
                <w:b/>
                <w:bCs/>
              </w:rPr>
            </w:pPr>
            <w:r w:rsidRPr="00D478A3">
              <w:rPr>
                <w:b/>
                <w:bCs/>
              </w:rPr>
              <w:t>Purpose</w:t>
            </w:r>
          </w:p>
        </w:tc>
      </w:tr>
      <w:tr w:rsidR="00D478A3" w:rsidRPr="00D478A3" w14:paraId="6697843F" w14:textId="77777777" w:rsidTr="00D478A3">
        <w:tc>
          <w:tcPr>
            <w:tcW w:w="0" w:type="auto"/>
            <w:hideMark/>
          </w:tcPr>
          <w:p w14:paraId="37B7BA51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Submission Guide</w:t>
            </w:r>
          </w:p>
        </w:tc>
        <w:tc>
          <w:tcPr>
            <w:tcW w:w="0" w:type="auto"/>
            <w:hideMark/>
          </w:tcPr>
          <w:p w14:paraId="1E738E98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467</w:t>
            </w:r>
          </w:p>
        </w:tc>
        <w:tc>
          <w:tcPr>
            <w:tcW w:w="0" w:type="auto"/>
            <w:hideMark/>
          </w:tcPr>
          <w:p w14:paraId="5232168A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Step-by-step for IANA, IETF, IEEE, ISO, NIST, DISR with URLs and contacts</w:t>
            </w:r>
          </w:p>
        </w:tc>
      </w:tr>
      <w:tr w:rsidR="00D478A3" w:rsidRPr="00D478A3" w14:paraId="541C847F" w14:textId="77777777" w:rsidTr="00D478A3">
        <w:tc>
          <w:tcPr>
            <w:tcW w:w="0" w:type="auto"/>
            <w:hideMark/>
          </w:tcPr>
          <w:p w14:paraId="5DB9561A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Public Checklist</w:t>
            </w:r>
          </w:p>
        </w:tc>
        <w:tc>
          <w:tcPr>
            <w:tcW w:w="0" w:type="auto"/>
            <w:hideMark/>
          </w:tcPr>
          <w:p w14:paraId="2A290EE5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109</w:t>
            </w:r>
          </w:p>
        </w:tc>
        <w:tc>
          <w:tcPr>
            <w:tcW w:w="0" w:type="auto"/>
            <w:hideMark/>
          </w:tcPr>
          <w:p w14:paraId="042D2CCE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What to make public, what to keep private, IP protection</w:t>
            </w:r>
          </w:p>
        </w:tc>
      </w:tr>
      <w:tr w:rsidR="00D478A3" w:rsidRPr="00D478A3" w14:paraId="569878AC" w14:textId="77777777" w:rsidTr="00D478A3">
        <w:tc>
          <w:tcPr>
            <w:tcW w:w="0" w:type="auto"/>
            <w:hideMark/>
          </w:tcPr>
          <w:p w14:paraId="6513D5AD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Feasibility Assessment</w:t>
            </w:r>
          </w:p>
        </w:tc>
        <w:tc>
          <w:tcPr>
            <w:tcW w:w="0" w:type="auto"/>
            <w:hideMark/>
          </w:tcPr>
          <w:p w14:paraId="44F92A02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132</w:t>
            </w:r>
          </w:p>
        </w:tc>
        <w:tc>
          <w:tcPr>
            <w:tcW w:w="0" w:type="auto"/>
            <w:hideMark/>
          </w:tcPr>
          <w:p w14:paraId="25CD789A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Honest market analysis, positioning, adoption strategy</w:t>
            </w:r>
          </w:p>
        </w:tc>
      </w:tr>
      <w:tr w:rsidR="00D478A3" w:rsidRPr="00D478A3" w14:paraId="1E5A2D39" w14:textId="77777777" w:rsidTr="00D478A3">
        <w:tc>
          <w:tcPr>
            <w:tcW w:w="0" w:type="auto"/>
            <w:hideMark/>
          </w:tcPr>
          <w:p w14:paraId="325A3853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Hosting &amp; Control Architecture</w:t>
            </w:r>
          </w:p>
        </w:tc>
        <w:tc>
          <w:tcPr>
            <w:tcW w:w="0" w:type="auto"/>
            <w:hideMark/>
          </w:tcPr>
          <w:p w14:paraId="4A2F99D3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188</w:t>
            </w:r>
          </w:p>
        </w:tc>
        <w:tc>
          <w:tcPr>
            <w:tcW w:w="0" w:type="auto"/>
            <w:hideMark/>
          </w:tcPr>
          <w:p w14:paraId="1F2D0D0B" w14:textId="77777777" w:rsidR="00D478A3" w:rsidRPr="00D478A3" w:rsidRDefault="00D478A3" w:rsidP="00D478A3">
            <w:pPr>
              <w:spacing w:after="160" w:line="278" w:lineRule="auto"/>
            </w:pPr>
            <w:r w:rsidRPr="00D478A3">
              <w:t>AutoCyber AI vs customer control boundary, data ownership</w:t>
            </w:r>
          </w:p>
        </w:tc>
      </w:tr>
    </w:tbl>
    <w:p w14:paraId="0485AF77" w14:textId="77777777" w:rsidR="00D478A3" w:rsidRPr="00D478A3" w:rsidRDefault="00D478A3" w:rsidP="00D478A3">
      <w:r w:rsidRPr="00D478A3">
        <w:pict w14:anchorId="26CE44F3">
          <v:rect id="_x0000_i1037" style="width:0;height:1.5pt" o:hralign="center" o:hrstd="t" o:hr="t" fillcolor="#a0a0a0" stroked="f"/>
        </w:pict>
      </w:r>
    </w:p>
    <w:p w14:paraId="17A90DD9" w14:textId="77777777" w:rsidR="00D478A3" w:rsidRPr="00D478A3" w:rsidRDefault="00D478A3" w:rsidP="00D478A3">
      <w:pPr>
        <w:rPr>
          <w:b/>
          <w:bCs/>
        </w:rPr>
      </w:pPr>
      <w:r w:rsidRPr="00D478A3">
        <w:rPr>
          <w:b/>
          <w:bCs/>
        </w:rPr>
        <w:t xml:space="preserve">How It All Connects: The Flow </w:t>
      </w:r>
      <w:proofErr w:type="gramStart"/>
      <w:r w:rsidRPr="00D478A3">
        <w:rPr>
          <w:b/>
          <w:bCs/>
        </w:rPr>
        <w:t>From</w:t>
      </w:r>
      <w:proofErr w:type="gramEnd"/>
      <w:r w:rsidRPr="00D478A3">
        <w:rPr>
          <w:b/>
          <w:bCs/>
        </w:rPr>
        <w:t xml:space="preserve"> Protocol to Revenue</w:t>
      </w:r>
    </w:p>
    <w:p w14:paraId="4B84F85A" w14:textId="77777777" w:rsidR="00D478A3" w:rsidRPr="00D478A3" w:rsidRDefault="00D478A3" w:rsidP="00D478A3">
      <w:r w:rsidRPr="00D478A3">
        <w:t>The specification documents form a dependency chain that maps directly to the product ecosystem and monetisation model:</w:t>
      </w:r>
    </w:p>
    <w:p w14:paraId="47386937" w14:textId="77777777" w:rsidR="00D478A3" w:rsidRPr="00D478A3" w:rsidRDefault="00D478A3" w:rsidP="00D478A3">
      <w:r w:rsidRPr="00D478A3">
        <w:rPr>
          <w:b/>
          <w:bCs/>
        </w:rPr>
        <w:t>Layer 1 — The Open Protocol (free, drives adoption)</w:t>
      </w:r>
      <w:r w:rsidRPr="00D478A3">
        <w:t xml:space="preserve"> SPEC-001 through 004 define the core protocol. SPEC-002 is submitted to IANA for header registration and to IETF as the Internet-Draft. These are public, CC BY 4.0 licensed, and anyone can implement them. The open protocol is how CRP achieves ubiquity — like HTTP, the spec is </w:t>
      </w:r>
      <w:proofErr w:type="gramStart"/>
      <w:r w:rsidRPr="00D478A3">
        <w:t>free</w:t>
      </w:r>
      <w:proofErr w:type="gramEnd"/>
      <w:r w:rsidRPr="00D478A3">
        <w:t xml:space="preserve"> but the infrastructure built on it is not.</w:t>
      </w:r>
    </w:p>
    <w:p w14:paraId="5A29389F" w14:textId="77777777" w:rsidR="00D478A3" w:rsidRPr="00D478A3" w:rsidRDefault="00D478A3" w:rsidP="00D478A3">
      <w:r w:rsidRPr="00D478A3">
        <w:rPr>
          <w:b/>
          <w:bCs/>
        </w:rPr>
        <w:t>Layer 2 — The Safety Engine (differentiator, partially open)</w:t>
      </w:r>
      <w:r w:rsidRPr="00D478A3">
        <w:t xml:space="preserve"> SPEC-005 (DPE with RQA), SPEC-006 (Safety Policy), and SPEC-012 (Multi-Agent Safety) define CRP's core competitive advantage. The stage definitions and header outputs are published. The exact scoring weights and calibration data are proprietary (file provisional patents for Safety-Stop-Inject and Safety Budget before publishing).</w:t>
      </w:r>
    </w:p>
    <w:p w14:paraId="7A6E1D33" w14:textId="77777777" w:rsidR="00D478A3" w:rsidRPr="00D478A3" w:rsidRDefault="00D478A3" w:rsidP="00D478A3">
      <w:r w:rsidRPr="00D478A3">
        <w:rPr>
          <w:b/>
          <w:bCs/>
        </w:rPr>
        <w:t>Layer 3 — The Platform Products (monetisation)</w:t>
      </w:r>
      <w:r w:rsidRPr="00D478A3">
        <w:t xml:space="preserve"> SPEC-007 (Session Token) enables the CRP Gateway's stateless scaling. SPEC-009 (CKF) is the managed knowledge graph. SPEC-011 (Audit Trail) feeds CRP Comply. SPEC-013 (GitHub Action) is the top-of-funnel. SPEC-014 (Conformance) is the certification revenue stream. Each spec directly enables a paid product.</w:t>
      </w:r>
    </w:p>
    <w:p w14:paraId="6D632DE1" w14:textId="77777777" w:rsidR="00D478A3" w:rsidRPr="00D478A3" w:rsidRDefault="00D478A3" w:rsidP="00D478A3">
      <w:r w:rsidRPr="00D478A3">
        <w:rPr>
          <w:b/>
          <w:bCs/>
        </w:rPr>
        <w:lastRenderedPageBreak/>
        <w:t>Layer 4 — The Standards Track (moat)</w:t>
      </w:r>
      <w:r w:rsidRPr="00D478A3">
        <w:t xml:space="preserve"> SPEC-010 (Regulatory Mapping) is submitted to NIST and DISR. SPEC-014 (Conformance) provides the interoperability evidence IETF requires. SPEC-015 (Security) supports the SOC 2 and ISO 27001 certifications AutoCyber AI needs for enterprise credibility.</w:t>
      </w:r>
    </w:p>
    <w:p w14:paraId="10E3F06D" w14:textId="77777777" w:rsidR="00D478A3" w:rsidRPr="00D478A3" w:rsidRDefault="00D478A3" w:rsidP="00D478A3">
      <w:r w:rsidRPr="00D478A3">
        <w:pict w14:anchorId="5237DF3D">
          <v:rect id="_x0000_i1038" style="width:0;height:1.5pt" o:hralign="center" o:hrstd="t" o:hr="t" fillcolor="#a0a0a0" stroked="f"/>
        </w:pict>
      </w:r>
    </w:p>
    <w:p w14:paraId="138B376E" w14:textId="77777777" w:rsidR="00D478A3" w:rsidRPr="00D478A3" w:rsidRDefault="00D478A3" w:rsidP="00D478A3">
      <w:pPr>
        <w:rPr>
          <w:b/>
          <w:bCs/>
        </w:rPr>
      </w:pPr>
      <w:r w:rsidRPr="00D478A3">
        <w:rPr>
          <w:b/>
          <w:bCs/>
        </w:rPr>
        <w:t>What to Do First (Next 30 Days)</w:t>
      </w:r>
    </w:p>
    <w:p w14:paraId="5EDA226B" w14:textId="77777777" w:rsidR="00D478A3" w:rsidRPr="00D478A3" w:rsidRDefault="00D478A3" w:rsidP="00D478A3">
      <w:pPr>
        <w:numPr>
          <w:ilvl w:val="0"/>
          <w:numId w:val="1"/>
        </w:numPr>
      </w:pPr>
      <w:r w:rsidRPr="00D478A3">
        <w:rPr>
          <w:b/>
          <w:bCs/>
        </w:rPr>
        <w:t>IP protection</w:t>
      </w:r>
      <w:r w:rsidRPr="00D478A3">
        <w:t xml:space="preserve"> — File trademarks (CRP™ etc.) and provisional patents (Stop-Inject, Safety Budget) before any public submission</w:t>
      </w:r>
    </w:p>
    <w:p w14:paraId="71674A32" w14:textId="77777777" w:rsidR="00D478A3" w:rsidRPr="00D478A3" w:rsidRDefault="00D478A3" w:rsidP="00D478A3">
      <w:pPr>
        <w:numPr>
          <w:ilvl w:val="0"/>
          <w:numId w:val="1"/>
        </w:numPr>
      </w:pPr>
      <w:r w:rsidRPr="00D478A3">
        <w:rPr>
          <w:b/>
          <w:bCs/>
        </w:rPr>
        <w:t>Add /spec/ directory to GitHub repo</w:t>
      </w:r>
      <w:r w:rsidRPr="00D478A3">
        <w:t xml:space="preserve"> — All 15 SPEC documents, CONTRIBUTING.md, LICENSE (CC BY 4.0)</w:t>
      </w:r>
    </w:p>
    <w:p w14:paraId="22964C83" w14:textId="77777777" w:rsidR="00D478A3" w:rsidRPr="00D478A3" w:rsidRDefault="00D478A3" w:rsidP="00D478A3">
      <w:pPr>
        <w:numPr>
          <w:ilvl w:val="0"/>
          <w:numId w:val="1"/>
        </w:numPr>
      </w:pPr>
      <w:r w:rsidRPr="00D478A3">
        <w:rPr>
          <w:b/>
          <w:bCs/>
        </w:rPr>
        <w:t>Submit IANA registration</w:t>
      </w:r>
      <w:r w:rsidRPr="00D478A3">
        <w:t xml:space="preserve"> — Top 10 headers from SPEC-002 §16.1, using the templates provided</w:t>
      </w:r>
    </w:p>
    <w:p w14:paraId="7B020A3D" w14:textId="77777777" w:rsidR="00D478A3" w:rsidRPr="00D478A3" w:rsidRDefault="00D478A3" w:rsidP="00D478A3">
      <w:pPr>
        <w:numPr>
          <w:ilvl w:val="0"/>
          <w:numId w:val="1"/>
        </w:numPr>
      </w:pPr>
      <w:r w:rsidRPr="00D478A3">
        <w:rPr>
          <w:b/>
          <w:bCs/>
        </w:rPr>
        <w:t>Update autocyberai.com</w:t>
      </w:r>
      <w:r w:rsidRPr="00D478A3">
        <w:t xml:space="preserve"> — Company credibility page for standards body reviewers</w:t>
      </w:r>
    </w:p>
    <w:p w14:paraId="184FBF66" w14:textId="77777777" w:rsidR="00D478A3" w:rsidRPr="00D478A3" w:rsidRDefault="00D478A3" w:rsidP="00D478A3">
      <w:pPr>
        <w:numPr>
          <w:ilvl w:val="0"/>
          <w:numId w:val="1"/>
        </w:numPr>
      </w:pPr>
      <w:r w:rsidRPr="00D478A3">
        <w:rPr>
          <w:b/>
          <w:bCs/>
        </w:rPr>
        <w:t>Begin IETF I-D drafting</w:t>
      </w:r>
      <w:r w:rsidRPr="00D478A3">
        <w:t xml:space="preserve"> — Convert SPEC-001 + SPEC-002 to </w:t>
      </w:r>
      <w:proofErr w:type="spellStart"/>
      <w:r w:rsidRPr="00D478A3">
        <w:t>kramdown-rfc</w:t>
      </w:r>
      <w:proofErr w:type="spellEnd"/>
      <w:r w:rsidRPr="00D478A3">
        <w:t xml:space="preserve"> format using the </w:t>
      </w:r>
      <w:proofErr w:type="spellStart"/>
      <w:r w:rsidRPr="00D478A3">
        <w:t>i-d</w:t>
      </w:r>
      <w:proofErr w:type="spellEnd"/>
      <w:r w:rsidRPr="00D478A3">
        <w:t>-template</w:t>
      </w:r>
    </w:p>
    <w:p w14:paraId="3572DEA6" w14:textId="77777777" w:rsidR="00780F6F" w:rsidRDefault="00780F6F"/>
    <w:sectPr w:rsidR="00780F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E12CC"/>
    <w:multiLevelType w:val="multilevel"/>
    <w:tmpl w:val="C358C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806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F6F"/>
    <w:rsid w:val="00780F6F"/>
    <w:rsid w:val="00CB3126"/>
    <w:rsid w:val="00D4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6DEF3-EDED-483E-9352-2BF1D521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0F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F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F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F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F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F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F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F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F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F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F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F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F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F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F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F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F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F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F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F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F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F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F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F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F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F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F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F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F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4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Constantinos Vidiniotis</dc:creator>
  <cp:keywords/>
  <dc:description/>
  <cp:lastModifiedBy>Constantinos Vidiniotis</cp:lastModifiedBy>
  <cp:revision>2</cp:revision>
  <dcterms:created xsi:type="dcterms:W3CDTF">2026-05-25T06:33:00Z</dcterms:created>
  <dcterms:modified xsi:type="dcterms:W3CDTF">2026-05-25T06:33:00Z</dcterms:modified>
</cp:coreProperties>
</file>